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3A27E" w14:textId="30D79367" w:rsidR="00901050" w:rsidRPr="003D50D0" w:rsidRDefault="00901050" w:rsidP="003D50D0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3D50D0">
        <w:rPr>
          <w:rFonts w:cstheme="minorHAnsi"/>
          <w:b/>
          <w:bCs/>
          <w:sz w:val="24"/>
          <w:szCs w:val="24"/>
        </w:rPr>
        <w:t xml:space="preserve">Examples of </w:t>
      </w:r>
      <w:r w:rsidRPr="003D50D0">
        <w:rPr>
          <w:rFonts w:cstheme="minorHAnsi"/>
          <w:b/>
          <w:bCs/>
          <w:sz w:val="24"/>
          <w:szCs w:val="24"/>
        </w:rPr>
        <w:t>Specialist</w:t>
      </w:r>
      <w:r w:rsidRPr="003D50D0">
        <w:rPr>
          <w:rFonts w:cstheme="minorHAnsi"/>
          <w:b/>
          <w:bCs/>
          <w:sz w:val="24"/>
          <w:szCs w:val="24"/>
        </w:rPr>
        <w:t xml:space="preserve"> Seminars</w:t>
      </w:r>
    </w:p>
    <w:p w14:paraId="5053BB51" w14:textId="77777777" w:rsidR="00901050" w:rsidRPr="003D50D0" w:rsidRDefault="00901050" w:rsidP="003D50D0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0BD0B8A6" w14:textId="2BEB2C8D" w:rsidR="00767E63" w:rsidRPr="003D50D0" w:rsidRDefault="00767E63" w:rsidP="003D50D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D50D0">
        <w:rPr>
          <w:rFonts w:cstheme="minorHAnsi"/>
          <w:sz w:val="24"/>
          <w:szCs w:val="24"/>
        </w:rPr>
        <w:t>Please note this list is indicative of the types of seminars you could expect from the MPhil in</w:t>
      </w:r>
      <w:r w:rsidRPr="003D50D0">
        <w:rPr>
          <w:rFonts w:cstheme="minorHAnsi"/>
          <w:sz w:val="24"/>
          <w:szCs w:val="24"/>
        </w:rPr>
        <w:t xml:space="preserve"> </w:t>
      </w:r>
      <w:r w:rsidRPr="003D50D0">
        <w:rPr>
          <w:rFonts w:cstheme="minorHAnsi"/>
          <w:sz w:val="24"/>
          <w:szCs w:val="24"/>
        </w:rPr>
        <w:t>English Studies course</w:t>
      </w:r>
      <w:r w:rsidRPr="003D50D0">
        <w:rPr>
          <w:rFonts w:cstheme="minorHAnsi"/>
          <w:sz w:val="24"/>
          <w:szCs w:val="24"/>
        </w:rPr>
        <w:t>. Th</w:t>
      </w:r>
      <w:r w:rsidRPr="003D50D0">
        <w:rPr>
          <w:rFonts w:cstheme="minorHAnsi"/>
          <w:sz w:val="24"/>
          <w:szCs w:val="24"/>
        </w:rPr>
        <w:t xml:space="preserve">e </w:t>
      </w:r>
      <w:r w:rsidRPr="003D50D0">
        <w:rPr>
          <w:rFonts w:cstheme="minorHAnsi"/>
          <w:sz w:val="24"/>
          <w:szCs w:val="24"/>
        </w:rPr>
        <w:t xml:space="preserve">actual </w:t>
      </w:r>
      <w:r w:rsidRPr="003D50D0">
        <w:rPr>
          <w:rFonts w:cstheme="minorHAnsi"/>
          <w:sz w:val="24"/>
          <w:szCs w:val="24"/>
        </w:rPr>
        <w:t xml:space="preserve">list </w:t>
      </w:r>
      <w:r w:rsidRPr="003D50D0">
        <w:rPr>
          <w:rFonts w:cstheme="minorHAnsi"/>
          <w:sz w:val="24"/>
          <w:szCs w:val="24"/>
        </w:rPr>
        <w:t>of specialist seminars offered</w:t>
      </w:r>
      <w:r w:rsidRPr="003D50D0">
        <w:rPr>
          <w:rFonts w:cstheme="minorHAnsi"/>
          <w:sz w:val="24"/>
          <w:szCs w:val="24"/>
        </w:rPr>
        <w:t xml:space="preserve"> </w:t>
      </w:r>
      <w:r w:rsidRPr="003D50D0">
        <w:rPr>
          <w:rFonts w:cstheme="minorHAnsi"/>
          <w:sz w:val="24"/>
          <w:szCs w:val="24"/>
        </w:rPr>
        <w:t>– generally a</w:t>
      </w:r>
      <w:r w:rsidR="003D50D0">
        <w:rPr>
          <w:rFonts w:cstheme="minorHAnsi"/>
          <w:sz w:val="24"/>
          <w:szCs w:val="24"/>
        </w:rPr>
        <w:t>t least 24</w:t>
      </w:r>
      <w:r w:rsidRPr="003D50D0">
        <w:rPr>
          <w:rFonts w:cstheme="minorHAnsi"/>
          <w:sz w:val="24"/>
          <w:szCs w:val="24"/>
        </w:rPr>
        <w:t xml:space="preserve"> each year –</w:t>
      </w:r>
      <w:r w:rsidR="003D50D0">
        <w:rPr>
          <w:rFonts w:cstheme="minorHAnsi"/>
          <w:sz w:val="24"/>
          <w:szCs w:val="24"/>
        </w:rPr>
        <w:t xml:space="preserve"> </w:t>
      </w:r>
      <w:r w:rsidRPr="003D50D0">
        <w:rPr>
          <w:rFonts w:cstheme="minorHAnsi"/>
          <w:sz w:val="24"/>
          <w:szCs w:val="24"/>
        </w:rPr>
        <w:t>change</w:t>
      </w:r>
      <w:r w:rsidRPr="003D50D0">
        <w:rPr>
          <w:rFonts w:cstheme="minorHAnsi"/>
          <w:sz w:val="24"/>
          <w:szCs w:val="24"/>
        </w:rPr>
        <w:t>s annually</w:t>
      </w:r>
      <w:r w:rsidR="003D50D0">
        <w:rPr>
          <w:rFonts w:cstheme="minorHAnsi"/>
          <w:sz w:val="24"/>
          <w:szCs w:val="24"/>
        </w:rPr>
        <w:t>,</w:t>
      </w:r>
      <w:r w:rsidRPr="003D50D0">
        <w:rPr>
          <w:rFonts w:cstheme="minorHAnsi"/>
          <w:sz w:val="24"/>
          <w:szCs w:val="24"/>
        </w:rPr>
        <w:t xml:space="preserve"> although we always offer options in each of the major </w:t>
      </w:r>
      <w:r w:rsidR="003D50D0" w:rsidRPr="003D50D0">
        <w:rPr>
          <w:rFonts w:cstheme="minorHAnsi"/>
          <w:sz w:val="24"/>
          <w:szCs w:val="24"/>
        </w:rPr>
        <w:t>fields</w:t>
      </w:r>
      <w:r w:rsidRPr="003D50D0">
        <w:rPr>
          <w:rFonts w:cstheme="minorHAnsi"/>
          <w:sz w:val="24"/>
          <w:szCs w:val="24"/>
        </w:rPr>
        <w:t xml:space="preserve"> of </w:t>
      </w:r>
      <w:r w:rsidR="003D50D0" w:rsidRPr="003D50D0">
        <w:rPr>
          <w:rFonts w:cstheme="minorHAnsi"/>
          <w:sz w:val="24"/>
          <w:szCs w:val="24"/>
        </w:rPr>
        <w:t xml:space="preserve">anglophone </w:t>
      </w:r>
      <w:r w:rsidRPr="003D50D0">
        <w:rPr>
          <w:rFonts w:cstheme="minorHAnsi"/>
          <w:sz w:val="24"/>
          <w:szCs w:val="24"/>
        </w:rPr>
        <w:t xml:space="preserve">literature </w:t>
      </w:r>
      <w:r w:rsidR="003D50D0" w:rsidRPr="003D50D0">
        <w:rPr>
          <w:rFonts w:cstheme="minorHAnsi"/>
          <w:sz w:val="24"/>
          <w:szCs w:val="24"/>
        </w:rPr>
        <w:t>and criticism</w:t>
      </w:r>
      <w:r w:rsidRPr="003D50D0">
        <w:rPr>
          <w:rFonts w:cstheme="minorHAnsi"/>
          <w:sz w:val="24"/>
          <w:szCs w:val="24"/>
        </w:rPr>
        <w:t xml:space="preserve"> illustrated by </w:t>
      </w:r>
      <w:r w:rsidR="003D50D0" w:rsidRPr="003D50D0">
        <w:rPr>
          <w:rFonts w:cstheme="minorHAnsi"/>
          <w:sz w:val="24"/>
          <w:szCs w:val="24"/>
        </w:rPr>
        <w:t>t</w:t>
      </w:r>
      <w:r w:rsidRPr="003D50D0">
        <w:rPr>
          <w:rFonts w:cstheme="minorHAnsi"/>
          <w:sz w:val="24"/>
          <w:szCs w:val="24"/>
        </w:rPr>
        <w:t>he groupings below</w:t>
      </w:r>
      <w:r w:rsidRPr="003D50D0">
        <w:rPr>
          <w:rFonts w:cstheme="minorHAnsi"/>
          <w:sz w:val="24"/>
          <w:szCs w:val="24"/>
        </w:rPr>
        <w:t>. Information about a</w:t>
      </w:r>
      <w:r w:rsidRPr="003D50D0">
        <w:rPr>
          <w:rFonts w:cstheme="minorHAnsi"/>
          <w:sz w:val="24"/>
          <w:szCs w:val="24"/>
        </w:rPr>
        <w:t xml:space="preserve"> </w:t>
      </w:r>
      <w:r w:rsidRPr="003D50D0">
        <w:rPr>
          <w:rFonts w:cstheme="minorHAnsi"/>
          <w:sz w:val="24"/>
          <w:szCs w:val="24"/>
        </w:rPr>
        <w:t>given year’s seminar provision, seminar content</w:t>
      </w:r>
      <w:r w:rsidR="003D50D0">
        <w:rPr>
          <w:rFonts w:cstheme="minorHAnsi"/>
          <w:sz w:val="24"/>
          <w:szCs w:val="24"/>
        </w:rPr>
        <w:t>,</w:t>
      </w:r>
      <w:r w:rsidRPr="003D50D0">
        <w:rPr>
          <w:rFonts w:cstheme="minorHAnsi"/>
          <w:sz w:val="24"/>
          <w:szCs w:val="24"/>
        </w:rPr>
        <w:t xml:space="preserve"> and timetabling is provided to offer-holders</w:t>
      </w:r>
      <w:r w:rsidRPr="003D50D0">
        <w:rPr>
          <w:rFonts w:cstheme="minorHAnsi"/>
          <w:sz w:val="24"/>
          <w:szCs w:val="24"/>
        </w:rPr>
        <w:t xml:space="preserve"> </w:t>
      </w:r>
      <w:r w:rsidR="003D50D0" w:rsidRPr="003D50D0">
        <w:rPr>
          <w:rFonts w:cstheme="minorHAnsi"/>
          <w:sz w:val="24"/>
          <w:szCs w:val="24"/>
        </w:rPr>
        <w:t>in the autumn,</w:t>
      </w:r>
      <w:r w:rsidRPr="003D50D0">
        <w:rPr>
          <w:rFonts w:cstheme="minorHAnsi"/>
          <w:sz w:val="24"/>
          <w:szCs w:val="24"/>
        </w:rPr>
        <w:t xml:space="preserve"> </w:t>
      </w:r>
      <w:r w:rsidR="003D50D0" w:rsidRPr="003D50D0">
        <w:rPr>
          <w:rFonts w:cstheme="minorHAnsi"/>
          <w:sz w:val="24"/>
          <w:szCs w:val="24"/>
        </w:rPr>
        <w:t xml:space="preserve">shortly </w:t>
      </w:r>
      <w:r w:rsidRPr="003D50D0">
        <w:rPr>
          <w:rFonts w:cstheme="minorHAnsi"/>
          <w:sz w:val="24"/>
          <w:szCs w:val="24"/>
        </w:rPr>
        <w:t>prior to admission.</w:t>
      </w:r>
    </w:p>
    <w:p w14:paraId="61A3845D" w14:textId="77777777" w:rsidR="00767E63" w:rsidRPr="003D50D0" w:rsidRDefault="00767E63" w:rsidP="003D50D0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61C3315E" w14:textId="77777777" w:rsidR="00901050" w:rsidRPr="0090105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901050">
        <w:rPr>
          <w:rFonts w:cstheme="minorHAnsi"/>
          <w:sz w:val="24"/>
          <w:szCs w:val="24"/>
        </w:rPr>
        <w:t>Middle English Contemplation: Devotion, Affect, Apophasis, Aporia</w:t>
      </w:r>
    </w:p>
    <w:p w14:paraId="1849D5CB" w14:textId="77777777" w:rsidR="00901050" w:rsidRPr="0090105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901050">
        <w:rPr>
          <w:rFonts w:cstheme="minorHAnsi"/>
          <w:sz w:val="24"/>
          <w:szCs w:val="24"/>
        </w:rPr>
        <w:t>Reading Medieval Bodies: From Birth to Death</w:t>
      </w:r>
    </w:p>
    <w:p w14:paraId="3FA12FAF" w14:textId="77777777" w:rsidR="00901050" w:rsidRPr="003D50D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3D50D0">
        <w:rPr>
          <w:rFonts w:cstheme="minorHAnsi"/>
          <w:sz w:val="24"/>
          <w:szCs w:val="24"/>
        </w:rPr>
        <w:t>Transgressive Sexualities in the Middle Ages</w:t>
      </w:r>
    </w:p>
    <w:p w14:paraId="2A1356B5" w14:textId="77777777" w:rsidR="00901050" w:rsidRPr="003D50D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3D50D0">
        <w:rPr>
          <w:rFonts w:cstheme="minorHAnsi"/>
          <w:sz w:val="24"/>
          <w:szCs w:val="24"/>
        </w:rPr>
        <w:t>Reading Censored Books of the Late Medieval Period</w:t>
      </w:r>
    </w:p>
    <w:p w14:paraId="3A55745B" w14:textId="77777777" w:rsidR="00767E63" w:rsidRPr="003D50D0" w:rsidRDefault="00767E63" w:rsidP="003D50D0">
      <w:pPr>
        <w:spacing w:after="0" w:line="360" w:lineRule="auto"/>
        <w:rPr>
          <w:rFonts w:cstheme="minorHAnsi"/>
          <w:sz w:val="24"/>
          <w:szCs w:val="24"/>
        </w:rPr>
      </w:pPr>
      <w:r w:rsidRPr="003D50D0">
        <w:rPr>
          <w:rFonts w:cstheme="minorHAnsi"/>
          <w:sz w:val="24"/>
          <w:szCs w:val="24"/>
        </w:rPr>
        <w:t>Medieval Books in the Digital Age</w:t>
      </w:r>
    </w:p>
    <w:p w14:paraId="7B5D974E" w14:textId="77777777" w:rsidR="00767E63" w:rsidRPr="003D50D0" w:rsidRDefault="00767E63" w:rsidP="003D50D0">
      <w:pPr>
        <w:spacing w:after="0" w:line="360" w:lineRule="auto"/>
        <w:rPr>
          <w:rFonts w:cstheme="minorHAnsi"/>
          <w:sz w:val="24"/>
          <w:szCs w:val="24"/>
        </w:rPr>
      </w:pPr>
      <w:r w:rsidRPr="003D50D0">
        <w:rPr>
          <w:rFonts w:cstheme="minorHAnsi"/>
          <w:sz w:val="24"/>
          <w:szCs w:val="24"/>
        </w:rPr>
        <w:t>Medieval Literature and Visual Culture</w:t>
      </w:r>
    </w:p>
    <w:p w14:paraId="61263592" w14:textId="77777777" w:rsidR="00901050" w:rsidRPr="003D50D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</w:p>
    <w:p w14:paraId="1F614EBC" w14:textId="77777777" w:rsidR="00901050" w:rsidRPr="0090105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901050">
        <w:rPr>
          <w:rFonts w:cstheme="minorHAnsi"/>
          <w:sz w:val="24"/>
          <w:szCs w:val="24"/>
        </w:rPr>
        <w:t>Crossroads of Knowledge in Early Modern England: Interdisciplinary Approaches</w:t>
      </w:r>
    </w:p>
    <w:p w14:paraId="73165324" w14:textId="77777777" w:rsidR="00901050" w:rsidRPr="0090105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901050">
        <w:rPr>
          <w:rFonts w:cstheme="minorHAnsi"/>
          <w:sz w:val="24"/>
          <w:szCs w:val="24"/>
        </w:rPr>
        <w:t>1590-something: One Year in Shakespeare’s Early Career (as chosen by the seminar group)</w:t>
      </w:r>
    </w:p>
    <w:p w14:paraId="13351941" w14:textId="23525BE6" w:rsidR="00901050" w:rsidRPr="003D50D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3D50D0">
        <w:rPr>
          <w:rFonts w:cstheme="minorHAnsi"/>
          <w:sz w:val="24"/>
          <w:szCs w:val="24"/>
        </w:rPr>
        <w:t>Animal and Human in the Renaissance</w:t>
      </w:r>
    </w:p>
    <w:p w14:paraId="3A808BE8" w14:textId="77777777" w:rsidR="00901050" w:rsidRPr="0090105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901050">
        <w:rPr>
          <w:rFonts w:cstheme="minorHAnsi"/>
          <w:sz w:val="24"/>
          <w:szCs w:val="24"/>
        </w:rPr>
        <w:t>Forms of Collaboration in the Early Modern Period</w:t>
      </w:r>
    </w:p>
    <w:p w14:paraId="7084189F" w14:textId="77777777" w:rsidR="00901050" w:rsidRPr="003D50D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901050">
        <w:rPr>
          <w:rFonts w:cstheme="minorHAnsi"/>
          <w:sz w:val="24"/>
          <w:szCs w:val="24"/>
        </w:rPr>
        <w:t>Exuvial Renaissance: Distributed Selves in Early Modern Literature</w:t>
      </w:r>
    </w:p>
    <w:p w14:paraId="049BD6DF" w14:textId="77777777" w:rsidR="00767E63" w:rsidRPr="003D50D0" w:rsidRDefault="00767E63" w:rsidP="003D50D0">
      <w:pPr>
        <w:spacing w:after="0" w:line="360" w:lineRule="auto"/>
        <w:rPr>
          <w:rFonts w:cstheme="minorHAnsi"/>
          <w:sz w:val="24"/>
          <w:szCs w:val="24"/>
          <w:lang w:val="fr-FR"/>
        </w:rPr>
      </w:pPr>
      <w:r w:rsidRPr="003D50D0">
        <w:rPr>
          <w:rFonts w:cstheme="minorHAnsi"/>
          <w:sz w:val="24"/>
          <w:szCs w:val="24"/>
          <w:lang w:val="fr-FR"/>
        </w:rPr>
        <w:t>Renaissance Lyric</w:t>
      </w:r>
    </w:p>
    <w:p w14:paraId="16B187B2" w14:textId="77777777" w:rsidR="00901050" w:rsidRPr="0090105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</w:p>
    <w:p w14:paraId="2A225A13" w14:textId="77777777" w:rsidR="00767E63" w:rsidRPr="003D50D0" w:rsidRDefault="00767E63" w:rsidP="003D50D0">
      <w:pPr>
        <w:spacing w:after="0" w:line="360" w:lineRule="auto"/>
        <w:rPr>
          <w:rFonts w:cstheme="minorHAnsi"/>
          <w:sz w:val="24"/>
          <w:szCs w:val="24"/>
        </w:rPr>
      </w:pPr>
      <w:r w:rsidRPr="003D50D0">
        <w:rPr>
          <w:rFonts w:cstheme="minorHAnsi"/>
          <w:sz w:val="24"/>
          <w:szCs w:val="24"/>
        </w:rPr>
        <w:t>Changeable Forms: Eighteenth-Century Embodiment</w:t>
      </w:r>
    </w:p>
    <w:p w14:paraId="4B8002EE" w14:textId="5A14986F" w:rsidR="003D50D0" w:rsidRPr="003D50D0" w:rsidRDefault="003D50D0" w:rsidP="003D50D0">
      <w:pPr>
        <w:spacing w:after="0" w:line="360" w:lineRule="auto"/>
        <w:rPr>
          <w:rFonts w:cstheme="minorHAnsi"/>
          <w:sz w:val="24"/>
          <w:szCs w:val="24"/>
        </w:rPr>
      </w:pPr>
      <w:r w:rsidRPr="003D50D0">
        <w:rPr>
          <w:rFonts w:cstheme="minorHAnsi"/>
          <w:sz w:val="24"/>
          <w:szCs w:val="24"/>
        </w:rPr>
        <w:t>Passion and Sentiment, 1700-1800</w:t>
      </w:r>
    </w:p>
    <w:p w14:paraId="6E31F8C7" w14:textId="77777777" w:rsidR="00901050" w:rsidRPr="0090105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901050">
        <w:rPr>
          <w:rFonts w:cstheme="minorHAnsi"/>
          <w:sz w:val="24"/>
          <w:szCs w:val="24"/>
        </w:rPr>
        <w:t>Performing Gender: The Georgian Theatre, 1740-1800</w:t>
      </w:r>
    </w:p>
    <w:p w14:paraId="0E21E7A7" w14:textId="77777777" w:rsidR="00901050" w:rsidRPr="0090105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901050">
        <w:rPr>
          <w:rFonts w:cstheme="minorHAnsi"/>
          <w:sz w:val="24"/>
          <w:szCs w:val="24"/>
        </w:rPr>
        <w:t>Unacknowledged Legislators: Poetry and the Republic, 1773-1886</w:t>
      </w:r>
    </w:p>
    <w:p w14:paraId="069FF8DD" w14:textId="77777777" w:rsidR="00901050" w:rsidRPr="003D50D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901050">
        <w:rPr>
          <w:rFonts w:cstheme="minorHAnsi"/>
          <w:sz w:val="24"/>
          <w:szCs w:val="24"/>
        </w:rPr>
        <w:t>Now Then: Present Time and Action in a Long Romantic Age</w:t>
      </w:r>
    </w:p>
    <w:p w14:paraId="45C0A0CC" w14:textId="08F65DE8" w:rsidR="00901050" w:rsidRPr="0090105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901050">
        <w:rPr>
          <w:rFonts w:cstheme="minorHAnsi"/>
          <w:sz w:val="24"/>
          <w:szCs w:val="24"/>
        </w:rPr>
        <w:t xml:space="preserve">Lower-Class Eighteenth </w:t>
      </w:r>
      <w:r w:rsidRPr="003D50D0">
        <w:rPr>
          <w:rFonts w:cstheme="minorHAnsi"/>
          <w:sz w:val="24"/>
          <w:szCs w:val="24"/>
        </w:rPr>
        <w:t>and</w:t>
      </w:r>
      <w:r w:rsidRPr="00901050">
        <w:rPr>
          <w:rFonts w:cstheme="minorHAnsi"/>
          <w:sz w:val="24"/>
          <w:szCs w:val="24"/>
        </w:rPr>
        <w:t xml:space="preserve"> </w:t>
      </w:r>
      <w:proofErr w:type="gramStart"/>
      <w:r w:rsidRPr="00901050">
        <w:rPr>
          <w:rFonts w:cstheme="minorHAnsi"/>
          <w:sz w:val="24"/>
          <w:szCs w:val="24"/>
        </w:rPr>
        <w:t>Nineteenth-Century English</w:t>
      </w:r>
      <w:proofErr w:type="gramEnd"/>
      <w:r w:rsidRPr="00901050">
        <w:rPr>
          <w:rFonts w:cstheme="minorHAnsi"/>
          <w:sz w:val="24"/>
          <w:szCs w:val="24"/>
        </w:rPr>
        <w:t>: Linguistics and Fiction</w:t>
      </w:r>
    </w:p>
    <w:p w14:paraId="09E5959E" w14:textId="77777777" w:rsidR="00901050" w:rsidRPr="0090105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</w:p>
    <w:p w14:paraId="0337B8CC" w14:textId="77777777" w:rsidR="00767E63" w:rsidRPr="003D50D0" w:rsidRDefault="00767E63" w:rsidP="003D50D0">
      <w:pPr>
        <w:spacing w:after="0" w:line="360" w:lineRule="auto"/>
        <w:rPr>
          <w:rFonts w:cstheme="minorHAnsi"/>
          <w:sz w:val="24"/>
          <w:szCs w:val="24"/>
        </w:rPr>
      </w:pPr>
      <w:r w:rsidRPr="003D50D0">
        <w:rPr>
          <w:rFonts w:cstheme="minorHAnsi"/>
          <w:sz w:val="24"/>
          <w:szCs w:val="24"/>
        </w:rPr>
        <w:t>Victorian Work Ethics: Labour in the Literary Imagination, 1830-1914</w:t>
      </w:r>
    </w:p>
    <w:p w14:paraId="47A98A44" w14:textId="737FA707" w:rsidR="00901050" w:rsidRPr="0090105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901050">
        <w:rPr>
          <w:rFonts w:cstheme="minorHAnsi"/>
          <w:sz w:val="24"/>
          <w:szCs w:val="24"/>
        </w:rPr>
        <w:t>Moveable Types: Cultures of the Letter and of Lettering in Britain, 1789-Present</w:t>
      </w:r>
    </w:p>
    <w:p w14:paraId="4E2A3190" w14:textId="77777777" w:rsidR="00901050" w:rsidRPr="0090105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901050">
        <w:rPr>
          <w:rFonts w:cstheme="minorHAnsi"/>
          <w:sz w:val="24"/>
          <w:szCs w:val="24"/>
        </w:rPr>
        <w:lastRenderedPageBreak/>
        <w:t>Spectacle, Sensation, Sentiment: Nineteenth-Century Theatre</w:t>
      </w:r>
    </w:p>
    <w:p w14:paraId="43BC3981" w14:textId="77777777" w:rsidR="00901050" w:rsidRPr="0090105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901050">
        <w:rPr>
          <w:rFonts w:cstheme="minorHAnsi"/>
          <w:sz w:val="24"/>
          <w:szCs w:val="24"/>
        </w:rPr>
        <w:t>Connecting Worlds: The Global Village in the Nineteenth Century</w:t>
      </w:r>
    </w:p>
    <w:p w14:paraId="275B7C67" w14:textId="77777777" w:rsidR="00767E63" w:rsidRPr="003D50D0" w:rsidRDefault="00767E63" w:rsidP="003D50D0">
      <w:pPr>
        <w:spacing w:after="0" w:line="360" w:lineRule="auto"/>
        <w:rPr>
          <w:rFonts w:cstheme="minorHAnsi"/>
          <w:sz w:val="24"/>
          <w:szCs w:val="24"/>
        </w:rPr>
      </w:pPr>
      <w:r w:rsidRPr="003D50D0">
        <w:rPr>
          <w:rFonts w:cstheme="minorHAnsi"/>
          <w:sz w:val="24"/>
          <w:szCs w:val="24"/>
        </w:rPr>
        <w:t>Writers’ Notebooks: Literature, Scholarship, and the Organisation of Knowledge</w:t>
      </w:r>
      <w:r w:rsidRPr="003D50D0">
        <w:rPr>
          <w:rFonts w:cstheme="minorHAnsi"/>
          <w:sz w:val="24"/>
          <w:szCs w:val="24"/>
        </w:rPr>
        <w:t xml:space="preserve"> </w:t>
      </w:r>
    </w:p>
    <w:p w14:paraId="26F6DBB0" w14:textId="4F37B65A" w:rsidR="00901050" w:rsidRPr="0090105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901050">
        <w:rPr>
          <w:rFonts w:cstheme="minorHAnsi"/>
          <w:sz w:val="24"/>
          <w:szCs w:val="24"/>
        </w:rPr>
        <w:t xml:space="preserve">Archive Poetics: Archives and Poetic Form, </w:t>
      </w:r>
      <w:proofErr w:type="gramStart"/>
      <w:r w:rsidRPr="00901050">
        <w:rPr>
          <w:rFonts w:cstheme="minorHAnsi"/>
          <w:sz w:val="24"/>
          <w:szCs w:val="24"/>
        </w:rPr>
        <w:t>19th</w:t>
      </w:r>
      <w:proofErr w:type="gramEnd"/>
      <w:r w:rsidRPr="00901050">
        <w:rPr>
          <w:rFonts w:cstheme="minorHAnsi"/>
          <w:sz w:val="24"/>
          <w:szCs w:val="24"/>
        </w:rPr>
        <w:t xml:space="preserve"> </w:t>
      </w:r>
      <w:r w:rsidRPr="003D50D0">
        <w:rPr>
          <w:rFonts w:cstheme="minorHAnsi"/>
          <w:sz w:val="24"/>
          <w:szCs w:val="24"/>
        </w:rPr>
        <w:t>and</w:t>
      </w:r>
      <w:r w:rsidRPr="00901050">
        <w:rPr>
          <w:rFonts w:cstheme="minorHAnsi"/>
          <w:sz w:val="24"/>
          <w:szCs w:val="24"/>
        </w:rPr>
        <w:t xml:space="preserve"> 20th-Century Case Studies </w:t>
      </w:r>
    </w:p>
    <w:p w14:paraId="6756AFE6" w14:textId="77777777" w:rsidR="00901050" w:rsidRPr="0090105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</w:p>
    <w:p w14:paraId="0391EBD2" w14:textId="77777777" w:rsidR="00901050" w:rsidRPr="003D50D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3D50D0">
        <w:rPr>
          <w:rFonts w:cstheme="minorHAnsi"/>
          <w:sz w:val="24"/>
          <w:szCs w:val="24"/>
        </w:rPr>
        <w:t>Phantom Tables: Philosophy and Literature (1890-present)</w:t>
      </w:r>
    </w:p>
    <w:p w14:paraId="59907EF6" w14:textId="77777777" w:rsidR="00767E63" w:rsidRPr="003D50D0" w:rsidRDefault="00767E63" w:rsidP="003D50D0">
      <w:pPr>
        <w:spacing w:after="0" w:line="360" w:lineRule="auto"/>
        <w:rPr>
          <w:rFonts w:cstheme="minorHAnsi"/>
          <w:sz w:val="24"/>
          <w:szCs w:val="24"/>
        </w:rPr>
      </w:pPr>
      <w:r w:rsidRPr="003D50D0">
        <w:rPr>
          <w:rFonts w:cstheme="minorHAnsi"/>
          <w:sz w:val="24"/>
          <w:szCs w:val="24"/>
        </w:rPr>
        <w:t xml:space="preserve">Various Things; </w:t>
      </w:r>
      <w:proofErr w:type="gramStart"/>
      <w:r w:rsidRPr="003D50D0">
        <w:rPr>
          <w:rFonts w:cstheme="minorHAnsi"/>
          <w:sz w:val="24"/>
          <w:szCs w:val="24"/>
        </w:rPr>
        <w:t>or,</w:t>
      </w:r>
      <w:proofErr w:type="gramEnd"/>
      <w:r w:rsidRPr="003D50D0">
        <w:rPr>
          <w:rFonts w:cstheme="minorHAnsi"/>
          <w:sz w:val="24"/>
          <w:szCs w:val="24"/>
        </w:rPr>
        <w:t xml:space="preserve"> The Object-Lives of Modernist Literature</w:t>
      </w:r>
    </w:p>
    <w:p w14:paraId="03A6F6E8" w14:textId="77777777" w:rsidR="00901050" w:rsidRPr="0090105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901050">
        <w:rPr>
          <w:rFonts w:cstheme="minorHAnsi"/>
          <w:sz w:val="24"/>
          <w:szCs w:val="24"/>
        </w:rPr>
        <w:t>20, Rue Jacob: Space, Gender, and Sexuality between the Wars</w:t>
      </w:r>
    </w:p>
    <w:p w14:paraId="375AC86C" w14:textId="77777777" w:rsidR="00901050" w:rsidRPr="0090105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901050">
        <w:rPr>
          <w:rFonts w:cstheme="minorHAnsi"/>
          <w:sz w:val="24"/>
          <w:szCs w:val="24"/>
        </w:rPr>
        <w:t>Poets’ Novels, 1920-2020</w:t>
      </w:r>
    </w:p>
    <w:p w14:paraId="30C79C2B" w14:textId="77777777" w:rsidR="00901050" w:rsidRPr="0090105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901050">
        <w:rPr>
          <w:rFonts w:cstheme="minorHAnsi"/>
          <w:sz w:val="24"/>
          <w:szCs w:val="24"/>
        </w:rPr>
        <w:t xml:space="preserve">Being Present: Ethics and the Present Tense Since 1945 </w:t>
      </w:r>
    </w:p>
    <w:p w14:paraId="06C53A2C" w14:textId="77777777" w:rsidR="00901050" w:rsidRPr="003D50D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3D50D0">
        <w:rPr>
          <w:rFonts w:cstheme="minorHAnsi"/>
          <w:sz w:val="24"/>
          <w:szCs w:val="24"/>
        </w:rPr>
        <w:t>Affects in Modern Literature and Theory</w:t>
      </w:r>
    </w:p>
    <w:p w14:paraId="53D1858D" w14:textId="77777777" w:rsidR="00901050" w:rsidRPr="003D50D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</w:p>
    <w:p w14:paraId="3CF2FF8F" w14:textId="77777777" w:rsidR="00901050" w:rsidRPr="003D50D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3D50D0">
        <w:rPr>
          <w:rFonts w:cstheme="minorHAnsi"/>
          <w:sz w:val="24"/>
          <w:szCs w:val="24"/>
        </w:rPr>
        <w:t>Emily Dickinson and the Archive</w:t>
      </w:r>
    </w:p>
    <w:p w14:paraId="74BEFBA7" w14:textId="5F04BCF2" w:rsidR="00901050" w:rsidRPr="0090105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901050">
        <w:rPr>
          <w:rFonts w:cstheme="minorHAnsi"/>
          <w:sz w:val="24"/>
          <w:szCs w:val="24"/>
        </w:rPr>
        <w:t>The Hollywood Melodrama: Films of the 1940s and 50s</w:t>
      </w:r>
    </w:p>
    <w:p w14:paraId="5DC9344C" w14:textId="77777777" w:rsidR="00901050" w:rsidRPr="0090105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901050">
        <w:rPr>
          <w:rFonts w:cstheme="minorHAnsi"/>
          <w:sz w:val="24"/>
          <w:szCs w:val="24"/>
        </w:rPr>
        <w:t>Contemporary US Fiction</w:t>
      </w:r>
    </w:p>
    <w:p w14:paraId="4D51D6A6" w14:textId="77777777" w:rsidR="00901050" w:rsidRPr="0090105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901050">
        <w:rPr>
          <w:rFonts w:cstheme="minorHAnsi"/>
          <w:sz w:val="24"/>
          <w:szCs w:val="24"/>
        </w:rPr>
        <w:t xml:space="preserve">Irony, </w:t>
      </w:r>
      <w:proofErr w:type="gramStart"/>
      <w:r w:rsidRPr="00901050">
        <w:rPr>
          <w:rFonts w:cstheme="minorHAnsi"/>
          <w:sz w:val="24"/>
          <w:szCs w:val="24"/>
        </w:rPr>
        <w:t>Sincerity</w:t>
      </w:r>
      <w:proofErr w:type="gramEnd"/>
      <w:r w:rsidRPr="00901050">
        <w:rPr>
          <w:rFonts w:cstheme="minorHAnsi"/>
          <w:sz w:val="24"/>
          <w:szCs w:val="24"/>
        </w:rPr>
        <w:t xml:space="preserve"> and Global Anglophone Poetics of the 1930s and 40s</w:t>
      </w:r>
    </w:p>
    <w:p w14:paraId="282DCAB2" w14:textId="77777777" w:rsidR="00901050" w:rsidRPr="003D50D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3D50D0">
        <w:rPr>
          <w:rFonts w:cstheme="minorHAnsi"/>
          <w:sz w:val="24"/>
          <w:szCs w:val="24"/>
        </w:rPr>
        <w:t>Decolonise: The Life and Times of an Idea</w:t>
      </w:r>
    </w:p>
    <w:p w14:paraId="04055F34" w14:textId="77777777" w:rsidR="00901050" w:rsidRPr="003D50D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901050">
        <w:rPr>
          <w:rFonts w:cstheme="minorHAnsi"/>
          <w:sz w:val="24"/>
          <w:szCs w:val="24"/>
        </w:rPr>
        <w:t>Cosmopolitics and World Literature: Mobile Fictions, Immobile People</w:t>
      </w:r>
      <w:r w:rsidRPr="003D50D0">
        <w:rPr>
          <w:rFonts w:cstheme="minorHAnsi"/>
          <w:sz w:val="24"/>
          <w:szCs w:val="24"/>
        </w:rPr>
        <w:t xml:space="preserve"> </w:t>
      </w:r>
    </w:p>
    <w:p w14:paraId="7BB54F2A" w14:textId="77777777" w:rsidR="00901050" w:rsidRPr="003D50D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</w:p>
    <w:p w14:paraId="06358C01" w14:textId="5D21FB5F" w:rsidR="00901050" w:rsidRPr="0090105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901050">
        <w:rPr>
          <w:rFonts w:cstheme="minorHAnsi"/>
          <w:sz w:val="24"/>
          <w:szCs w:val="24"/>
        </w:rPr>
        <w:t>Cultures of the Anthropocene: Earth History, Deep Time, and Literature</w:t>
      </w:r>
    </w:p>
    <w:p w14:paraId="4F48C07A" w14:textId="77777777" w:rsidR="00901050" w:rsidRPr="0090105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901050">
        <w:rPr>
          <w:rFonts w:cstheme="minorHAnsi"/>
          <w:sz w:val="24"/>
          <w:szCs w:val="24"/>
        </w:rPr>
        <w:t>Green Ink: Ecocriticism and Contemporary Literature</w:t>
      </w:r>
    </w:p>
    <w:p w14:paraId="40A5F10B" w14:textId="77777777" w:rsidR="00901050" w:rsidRPr="003D50D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3D50D0">
        <w:rPr>
          <w:rFonts w:cstheme="minorHAnsi"/>
          <w:sz w:val="24"/>
          <w:szCs w:val="24"/>
        </w:rPr>
        <w:t>Literature and Ultimate Questions</w:t>
      </w:r>
    </w:p>
    <w:p w14:paraId="13BC146D" w14:textId="77777777" w:rsidR="00901050" w:rsidRPr="003D50D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3D50D0">
        <w:rPr>
          <w:rFonts w:cstheme="minorHAnsi"/>
          <w:sz w:val="24"/>
          <w:szCs w:val="24"/>
        </w:rPr>
        <w:t>Inventing Criticism, 1660-1840</w:t>
      </w:r>
    </w:p>
    <w:p w14:paraId="4FA1742D" w14:textId="77777777" w:rsidR="00901050" w:rsidRPr="003D50D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3D50D0">
        <w:rPr>
          <w:rFonts w:cstheme="minorHAnsi"/>
          <w:sz w:val="24"/>
          <w:szCs w:val="24"/>
        </w:rPr>
        <w:t>Psychoanalytic Bodies</w:t>
      </w:r>
    </w:p>
    <w:p w14:paraId="2C8CAF8C" w14:textId="77777777" w:rsidR="00767E63" w:rsidRPr="003D50D0" w:rsidRDefault="00767E63" w:rsidP="003D50D0">
      <w:pPr>
        <w:spacing w:after="0" w:line="360" w:lineRule="auto"/>
        <w:rPr>
          <w:rFonts w:cstheme="minorHAnsi"/>
          <w:sz w:val="24"/>
          <w:szCs w:val="24"/>
        </w:rPr>
      </w:pPr>
      <w:r w:rsidRPr="003D50D0">
        <w:rPr>
          <w:rFonts w:cstheme="minorHAnsi"/>
          <w:sz w:val="24"/>
          <w:szCs w:val="24"/>
        </w:rPr>
        <w:t>Theatrical Dramaturgies</w:t>
      </w:r>
    </w:p>
    <w:p w14:paraId="1771BAA0" w14:textId="77777777" w:rsidR="00901050" w:rsidRPr="0090105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901050">
        <w:rPr>
          <w:rFonts w:cstheme="minorHAnsi"/>
          <w:sz w:val="24"/>
          <w:szCs w:val="24"/>
        </w:rPr>
        <w:t>Attunement</w:t>
      </w:r>
      <w:proofErr w:type="spellEnd"/>
      <w:r w:rsidRPr="00901050">
        <w:rPr>
          <w:rFonts w:cstheme="minorHAnsi"/>
          <w:sz w:val="24"/>
          <w:szCs w:val="24"/>
        </w:rPr>
        <w:t>: Practical Aesthetics</w:t>
      </w:r>
    </w:p>
    <w:p w14:paraId="3989A24A" w14:textId="77777777" w:rsidR="00901050" w:rsidRPr="003D50D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  <w:r w:rsidRPr="003D50D0">
        <w:rPr>
          <w:rFonts w:cstheme="minorHAnsi"/>
          <w:sz w:val="24"/>
          <w:szCs w:val="24"/>
        </w:rPr>
        <w:t>Digital Forms</w:t>
      </w:r>
    </w:p>
    <w:p w14:paraId="23BCE33B" w14:textId="0BB92A54" w:rsidR="00901050" w:rsidRPr="003D50D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</w:p>
    <w:p w14:paraId="3E62372D" w14:textId="77777777" w:rsidR="00901050" w:rsidRPr="003D50D0" w:rsidRDefault="00901050" w:rsidP="003D50D0">
      <w:pPr>
        <w:spacing w:after="0" w:line="360" w:lineRule="auto"/>
        <w:rPr>
          <w:rFonts w:cstheme="minorHAnsi"/>
          <w:sz w:val="24"/>
          <w:szCs w:val="24"/>
        </w:rPr>
      </w:pPr>
    </w:p>
    <w:sectPr w:rsidR="00901050" w:rsidRPr="003D50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EF36EA"/>
    <w:multiLevelType w:val="hybridMultilevel"/>
    <w:tmpl w:val="EB9A121E"/>
    <w:lvl w:ilvl="0" w:tplc="73109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C0E7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E60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1A09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B8C1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2A1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E83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E6C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C60C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30585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50"/>
    <w:rsid w:val="003D50D0"/>
    <w:rsid w:val="00767E63"/>
    <w:rsid w:val="00901050"/>
    <w:rsid w:val="0098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84BC8"/>
  <w15:chartTrackingRefBased/>
  <w15:docId w15:val="{F0E960CD-BED5-4056-BD50-B7A9982C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8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1017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888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57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Tilmouth</dc:creator>
  <cp:keywords/>
  <dc:description/>
  <cp:lastModifiedBy>Christopher Tilmouth</cp:lastModifiedBy>
  <cp:revision>1</cp:revision>
  <dcterms:created xsi:type="dcterms:W3CDTF">2023-11-02T08:11:00Z</dcterms:created>
  <dcterms:modified xsi:type="dcterms:W3CDTF">2023-11-02T08:38:00Z</dcterms:modified>
</cp:coreProperties>
</file>